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color w:val="FF0000"/>
          <w:sz w:val="24"/>
          <w:szCs w:val="24"/>
        </w:rPr>
      </w:pPr>
      <w:r>
        <w:rPr>
          <w:color w:val="FF0000"/>
          <w:sz w:val="24"/>
          <w:szCs w:val="24"/>
        </w:rPr>
        <w:t>Jméno, příjmení</w:t>
      </w:r>
    </w:p>
    <w:p>
      <w:pPr>
        <w:pStyle w:val="Normal"/>
        <w:bidi w:val="0"/>
        <w:jc w:val="left"/>
        <w:rPr>
          <w:color w:val="FF0000"/>
          <w:sz w:val="24"/>
          <w:szCs w:val="24"/>
        </w:rPr>
      </w:pPr>
      <w:r>
        <w:rPr>
          <w:color w:val="FF0000"/>
          <w:sz w:val="24"/>
          <w:szCs w:val="24"/>
        </w:rPr>
        <w:t xml:space="preserve">datum narození </w:t>
      </w:r>
    </w:p>
    <w:p>
      <w:pPr>
        <w:pStyle w:val="Normal"/>
        <w:bidi w:val="0"/>
        <w:jc w:val="left"/>
        <w:rPr>
          <w:color w:val="FF0000"/>
          <w:sz w:val="24"/>
          <w:szCs w:val="24"/>
        </w:rPr>
      </w:pPr>
      <w:r>
        <w:rPr>
          <w:color w:val="FF0000"/>
          <w:sz w:val="24"/>
          <w:szCs w:val="24"/>
        </w:rPr>
        <w:t>ulice, čp.</w:t>
      </w:r>
    </w:p>
    <w:p>
      <w:pPr>
        <w:pStyle w:val="Normal"/>
        <w:bidi w:val="0"/>
        <w:jc w:val="left"/>
        <w:rPr>
          <w:color w:val="FF0000"/>
          <w:sz w:val="24"/>
          <w:szCs w:val="24"/>
        </w:rPr>
      </w:pPr>
      <w:r>
        <w:rPr>
          <w:color w:val="FF0000"/>
          <w:sz w:val="24"/>
          <w:szCs w:val="24"/>
        </w:rPr>
        <w:t>PSČ dodací pošta</w:t>
      </w:r>
    </w:p>
    <w:p>
      <w:pPr>
        <w:pStyle w:val="Normal"/>
        <w:bidi w:val="0"/>
        <w:jc w:val="left"/>
        <w:rPr>
          <w:color w:val="FF0000"/>
          <w:sz w:val="24"/>
          <w:szCs w:val="24"/>
        </w:rPr>
      </w:pPr>
      <w:r>
        <w:rPr>
          <w:color w:val="FF0000"/>
          <w:sz w:val="24"/>
          <w:szCs w:val="24"/>
        </w:rPr>
      </w:r>
    </w:p>
    <w:p>
      <w:pPr>
        <w:pStyle w:val="Normal"/>
        <w:overflowPunct w:val="true"/>
        <w:bidi w:val="0"/>
        <w:jc w:val="left"/>
        <w:rPr>
          <w:sz w:val="24"/>
          <w:szCs w:val="24"/>
        </w:rPr>
      </w:pPr>
      <w:r>
        <w:rPr>
          <w:sz w:val="24"/>
          <w:szCs w:val="24"/>
        </w:rPr>
      </w:r>
    </w:p>
    <w:p>
      <w:pPr>
        <w:pStyle w:val="Normal"/>
        <w:overflowPunct w:val="true"/>
        <w:bidi w:val="0"/>
        <w:jc w:val="left"/>
        <w:rPr>
          <w:sz w:val="24"/>
          <w:szCs w:val="24"/>
        </w:rPr>
      </w:pPr>
      <w:r>
        <w:rPr>
          <w:sz w:val="24"/>
          <w:szCs w:val="24"/>
        </w:rPr>
      </w:r>
      <w:bookmarkStart w:id="0" w:name="_GoBack"/>
      <w:bookmarkStart w:id="1" w:name="_GoBack"/>
      <w:bookmarkEnd w:id="1"/>
    </w:p>
    <w:p>
      <w:pPr>
        <w:pStyle w:val="Normal"/>
        <w:overflowPunct w:val="true"/>
        <w:bidi w:val="0"/>
        <w:jc w:val="left"/>
        <w:rPr>
          <w:sz w:val="24"/>
          <w:szCs w:val="24"/>
        </w:rPr>
      </w:pPr>
      <w:r>
        <w:rPr>
          <w:color w:val="FF0000"/>
          <w:sz w:val="24"/>
          <w:szCs w:val="24"/>
        </w:rPr>
        <w:t>Název úřadu obce s rozšířenou působností</w:t>
      </w:r>
      <w:r>
        <w:rPr>
          <w:sz w:val="24"/>
          <w:szCs w:val="24"/>
        </w:rPr>
        <w:tab/>
        <w:tab/>
        <w:t xml:space="preserve"> </w:t>
      </w:r>
    </w:p>
    <w:p>
      <w:pPr>
        <w:pStyle w:val="Normal"/>
        <w:bidi w:val="0"/>
        <w:jc w:val="left"/>
        <w:rPr>
          <w:color w:val="FF0000"/>
          <w:sz w:val="24"/>
          <w:szCs w:val="24"/>
        </w:rPr>
      </w:pPr>
      <w:r>
        <w:rPr>
          <w:color w:val="FF0000"/>
          <w:sz w:val="24"/>
          <w:szCs w:val="24"/>
        </w:rPr>
        <w:t>ulice, čp.</w:t>
      </w:r>
    </w:p>
    <w:p>
      <w:pPr>
        <w:pStyle w:val="Normal"/>
        <w:bidi w:val="0"/>
        <w:jc w:val="left"/>
        <w:rPr>
          <w:color w:val="FF0000"/>
          <w:sz w:val="24"/>
          <w:szCs w:val="24"/>
        </w:rPr>
      </w:pPr>
      <w:r>
        <w:rPr>
          <w:color w:val="FF0000"/>
          <w:sz w:val="24"/>
          <w:szCs w:val="24"/>
        </w:rPr>
        <w:t>PSČ dodací pošta</w:t>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t>V </w:t>
      </w:r>
      <w:r>
        <w:rPr>
          <w:color w:val="FF0000"/>
          <w:sz w:val="24"/>
          <w:szCs w:val="24"/>
        </w:rPr>
        <w:t xml:space="preserve">…………. </w:t>
      </w:r>
      <w:r>
        <w:rPr>
          <w:sz w:val="24"/>
          <w:szCs w:val="24"/>
        </w:rPr>
        <w:t>dne</w:t>
      </w:r>
      <w:r>
        <w:rPr>
          <w:color w:val="FF0000"/>
          <w:sz w:val="24"/>
          <w:szCs w:val="24"/>
        </w:rPr>
        <w:t xml:space="preserve"> …………</w:t>
      </w:r>
    </w:p>
    <w:p>
      <w:pPr>
        <w:pStyle w:val="Normal"/>
        <w:bidi w:val="0"/>
        <w:jc w:val="left"/>
        <w:rPr>
          <w:sz w:val="24"/>
          <w:szCs w:val="24"/>
        </w:rPr>
      </w:pPr>
      <w:r>
        <w:rPr>
          <w:sz w:val="24"/>
          <w:szCs w:val="24"/>
        </w:rPr>
      </w:r>
    </w:p>
    <w:p>
      <w:pPr>
        <w:pStyle w:val="Normal"/>
        <w:bidi w:val="0"/>
        <w:jc w:val="left"/>
        <w:rPr>
          <w:b/>
          <w:b/>
          <w:sz w:val="24"/>
          <w:szCs w:val="24"/>
        </w:rPr>
      </w:pPr>
      <w:r>
        <w:rPr>
          <w:b/>
          <w:sz w:val="24"/>
          <w:szCs w:val="24"/>
        </w:rPr>
        <w:t>Podnět k výkonu dozoru v myslivosti a k zahájení řízení z moci úřední</w:t>
      </w:r>
    </w:p>
    <w:p>
      <w:pPr>
        <w:pStyle w:val="Normal"/>
        <w:bidi w:val="0"/>
        <w:jc w:val="both"/>
        <w:rPr>
          <w:sz w:val="22"/>
          <w:szCs w:val="22"/>
        </w:rPr>
      </w:pPr>
      <w:r>
        <w:rPr>
          <w:sz w:val="22"/>
          <w:szCs w:val="22"/>
        </w:rPr>
      </w:r>
    </w:p>
    <w:p>
      <w:pPr>
        <w:pStyle w:val="Normal"/>
        <w:bidi w:val="0"/>
        <w:ind w:firstLine="708"/>
        <w:jc w:val="both"/>
        <w:rPr>
          <w:sz w:val="24"/>
          <w:szCs w:val="24"/>
        </w:rPr>
      </w:pPr>
      <w:r>
        <w:rPr>
          <w:sz w:val="24"/>
          <w:szCs w:val="24"/>
        </w:rPr>
        <w:t xml:space="preserve">Jako vlastník lesních pozemků dávám ve smyslu § 42 zákona č. 500/2004 Sb., správní řád, v účinném znění (správní řád), podnět k řešení nadměrného poškozování lesa spárkatou zvěří. </w:t>
      </w:r>
    </w:p>
    <w:p>
      <w:pPr>
        <w:pStyle w:val="Normal"/>
        <w:bidi w:val="0"/>
        <w:jc w:val="both"/>
        <w:rPr>
          <w:sz w:val="24"/>
          <w:szCs w:val="24"/>
        </w:rPr>
      </w:pPr>
      <w:r>
        <w:rPr>
          <w:sz w:val="24"/>
          <w:szCs w:val="24"/>
        </w:rPr>
      </w:r>
    </w:p>
    <w:p>
      <w:pPr>
        <w:pStyle w:val="Normal"/>
        <w:bidi w:val="0"/>
        <w:ind w:firstLine="708"/>
        <w:jc w:val="both"/>
        <w:rPr>
          <w:sz w:val="24"/>
          <w:szCs w:val="24"/>
        </w:rPr>
      </w:pPr>
      <w:r>
        <w:rPr>
          <w:sz w:val="24"/>
          <w:szCs w:val="24"/>
        </w:rPr>
        <w:t xml:space="preserve">Níže uvádím rozsah mnou prováděných a náročně financovaných preventivních opatření, který mnohonásobně překračuje ekonomickou únosnost a přiměřenost. </w:t>
      </w:r>
    </w:p>
    <w:p>
      <w:pPr>
        <w:pStyle w:val="Normal"/>
        <w:bidi w:val="0"/>
        <w:jc w:val="both"/>
        <w:rPr>
          <w:sz w:val="24"/>
          <w:szCs w:val="24"/>
        </w:rPr>
      </w:pPr>
      <w:r>
        <w:rPr>
          <w:sz w:val="24"/>
          <w:szCs w:val="24"/>
        </w:rPr>
      </w:r>
    </w:p>
    <w:p>
      <w:pPr>
        <w:pStyle w:val="Normal"/>
        <w:bidi w:val="0"/>
        <w:ind w:firstLine="708"/>
        <w:jc w:val="both"/>
        <w:rPr>
          <w:sz w:val="24"/>
          <w:szCs w:val="24"/>
        </w:rPr>
      </w:pPr>
      <w:r>
        <w:rPr>
          <w:sz w:val="24"/>
          <w:szCs w:val="24"/>
        </w:rPr>
        <w:t xml:space="preserve">Mou zákonnou povinností je obhospodařovat les s péčí řádného hospodáře tak, aby byly rovnoměrně a trvale zachovány všechny funkce lesa a byl zachováván genofond lesních dřevin. </w:t>
      </w:r>
    </w:p>
    <w:p>
      <w:pPr>
        <w:pStyle w:val="Normal"/>
        <w:bidi w:val="0"/>
        <w:ind w:firstLine="708"/>
        <w:jc w:val="both"/>
        <w:rPr>
          <w:sz w:val="24"/>
          <w:szCs w:val="24"/>
        </w:rPr>
      </w:pPr>
      <w:r>
        <w:rPr>
          <w:sz w:val="24"/>
          <w:szCs w:val="24"/>
        </w:rPr>
        <w:t>Dle lesního zákona jsem povinen zvyšovat odolnost lesa a jeho stabilitu, zejména vhodnou druhovou skladbou dřevin a jejich rozmístěním v porostu. Podle § 32 odst. 4 lesního zákona jsou vlastníci lesů, uživatelé honiteb a orgány státní správy lesů povinni dbát, aby lesní porosty nebyly nepřiměřeně poškozovány zvěří.</w:t>
      </w:r>
    </w:p>
    <w:p>
      <w:pPr>
        <w:pStyle w:val="Normal"/>
        <w:bidi w:val="0"/>
        <w:ind w:firstLine="708"/>
        <w:jc w:val="both"/>
        <w:rPr/>
      </w:pPr>
      <w:r>
        <w:rPr>
          <w:sz w:val="24"/>
          <w:szCs w:val="24"/>
        </w:rPr>
        <w:t>V souvislosti s klimatickou změnou nabývají některé funkce lesa, především vodohospodářská, klimatická a půdoochranná zvláštního významu. Tím se dostává do popředí i potřeba zvýšit zastoupení listnatých dřevin a druhové pestrosti.</w:t>
      </w:r>
    </w:p>
    <w:p>
      <w:pPr>
        <w:pStyle w:val="Normal"/>
        <w:bidi w:val="0"/>
        <w:ind w:firstLine="708"/>
        <w:jc w:val="both"/>
        <w:rPr>
          <w:sz w:val="24"/>
          <w:szCs w:val="24"/>
        </w:rPr>
      </w:pPr>
      <w:r>
        <w:rPr>
          <w:sz w:val="24"/>
          <w:szCs w:val="24"/>
        </w:rPr>
        <w:tab/>
        <w:tab/>
      </w:r>
    </w:p>
    <w:p>
      <w:pPr>
        <w:pStyle w:val="ListParagraph"/>
        <w:numPr>
          <w:ilvl w:val="0"/>
          <w:numId w:val="1"/>
        </w:numPr>
        <w:bidi w:val="0"/>
        <w:jc w:val="both"/>
        <w:rPr>
          <w:sz w:val="24"/>
          <w:szCs w:val="24"/>
        </w:rPr>
      </w:pPr>
      <w:r>
        <w:rPr>
          <w:b/>
          <w:sz w:val="24"/>
          <w:szCs w:val="24"/>
        </w:rPr>
        <w:t xml:space="preserve">V k. ú. </w:t>
      </w:r>
      <w:r>
        <w:rPr>
          <w:b/>
          <w:color w:val="FF0000"/>
          <w:sz w:val="24"/>
          <w:szCs w:val="24"/>
        </w:rPr>
        <w:t>…………..</w:t>
      </w:r>
      <w:r>
        <w:rPr>
          <w:sz w:val="24"/>
          <w:szCs w:val="24"/>
        </w:rPr>
        <w:t xml:space="preserve"> vlastním </w:t>
      </w:r>
      <w:r>
        <w:rPr>
          <w:color w:val="FF0000"/>
          <w:sz w:val="24"/>
          <w:szCs w:val="24"/>
        </w:rPr>
        <w:t xml:space="preserve">…… </w:t>
      </w:r>
      <w:r>
        <w:rPr>
          <w:sz w:val="24"/>
          <w:szCs w:val="24"/>
        </w:rPr>
        <w:t xml:space="preserve">ha lesa. </w:t>
      </w:r>
    </w:p>
    <w:p>
      <w:pPr>
        <w:pStyle w:val="ListParagraph"/>
        <w:bidi w:val="0"/>
        <w:jc w:val="both"/>
        <w:rPr>
          <w:sz w:val="24"/>
          <w:szCs w:val="24"/>
        </w:rPr>
      </w:pPr>
      <w:r>
        <w:rPr>
          <w:sz w:val="24"/>
          <w:szCs w:val="24"/>
        </w:rPr>
        <w:t xml:space="preserve">Ochranu lesa proti zvěři provádím na celkové roční výměře </w:t>
      </w:r>
      <w:r>
        <w:rPr>
          <w:color w:val="FF0000"/>
          <w:sz w:val="24"/>
          <w:szCs w:val="24"/>
        </w:rPr>
        <w:t>…..</w:t>
      </w:r>
      <w:r>
        <w:rPr>
          <w:sz w:val="24"/>
          <w:szCs w:val="24"/>
        </w:rPr>
        <w:t xml:space="preserve"> ha (</w:t>
      </w:r>
      <w:r>
        <w:rPr>
          <w:color w:val="FF0000"/>
          <w:sz w:val="24"/>
          <w:szCs w:val="24"/>
        </w:rPr>
        <w:t xml:space="preserve">….. </w:t>
      </w:r>
      <w:r>
        <w:rPr>
          <w:sz w:val="24"/>
          <w:szCs w:val="24"/>
        </w:rPr>
        <w:t xml:space="preserve">ha oplocenek, </w:t>
      </w:r>
      <w:r>
        <w:rPr>
          <w:color w:val="FF0000"/>
          <w:sz w:val="24"/>
          <w:szCs w:val="24"/>
        </w:rPr>
        <w:t xml:space="preserve">……. </w:t>
      </w:r>
      <w:r>
        <w:rPr>
          <w:sz w:val="24"/>
          <w:szCs w:val="24"/>
        </w:rPr>
        <w:t xml:space="preserve">ha nátěr repelentu, </w:t>
      </w:r>
      <w:r>
        <w:rPr>
          <w:color w:val="FF0000"/>
          <w:sz w:val="24"/>
          <w:szCs w:val="24"/>
        </w:rPr>
        <w:t xml:space="preserve">….. </w:t>
      </w:r>
      <w:r>
        <w:rPr>
          <w:sz w:val="24"/>
          <w:szCs w:val="24"/>
        </w:rPr>
        <w:t xml:space="preserve">ha individuální ochrana). Celkový rozsah prováděné ochrany činí </w:t>
      </w:r>
      <w:r>
        <w:rPr>
          <w:color w:val="FF0000"/>
          <w:sz w:val="24"/>
          <w:szCs w:val="24"/>
        </w:rPr>
        <w:t>……</w:t>
      </w:r>
      <w:r>
        <w:rPr>
          <w:sz w:val="24"/>
          <w:szCs w:val="24"/>
        </w:rPr>
        <w:t xml:space="preserve">% oproti legislativní povinnosti představující 1 % výměry lesa v honitbě (vyhl. Mze č. 101/1996, § 5 odst. 1 písm f). </w:t>
      </w:r>
    </w:p>
    <w:p>
      <w:pPr>
        <w:pStyle w:val="ListParagraph"/>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ind w:firstLine="708"/>
        <w:jc w:val="both"/>
        <w:rPr>
          <w:sz w:val="24"/>
          <w:szCs w:val="24"/>
        </w:rPr>
      </w:pPr>
      <w:r>
        <w:rPr>
          <w:sz w:val="24"/>
          <w:szCs w:val="24"/>
        </w:rPr>
        <w:t>Vedle vynucených nadměrných nákladů na ochranu umělé obnovy se nepřiměřené poškození okusem zvěří projevuje i na přirozené obnově řady dřevin vyskytujících se v porostech. Ty sice plodí, zmlazují se, ale neodrůstají. Destruktivní poškození okusem zvěří je patrné i na ostatní bylinné vegetaci.  To se týká nejen mého majetku, ale stejná situace je i v širokém okolí.</w:t>
      </w:r>
    </w:p>
    <w:p>
      <w:pPr>
        <w:pStyle w:val="Normal"/>
        <w:bidi w:val="0"/>
        <w:ind w:firstLine="708"/>
        <w:jc w:val="both"/>
        <w:rPr>
          <w:sz w:val="24"/>
          <w:szCs w:val="24"/>
        </w:rPr>
      </w:pPr>
      <w:r>
        <w:rPr>
          <w:sz w:val="24"/>
          <w:szCs w:val="24"/>
        </w:rPr>
      </w:r>
    </w:p>
    <w:p>
      <w:pPr>
        <w:pStyle w:val="Normal"/>
        <w:bidi w:val="0"/>
        <w:ind w:firstLine="708"/>
        <w:jc w:val="both"/>
        <w:rPr>
          <w:sz w:val="24"/>
          <w:szCs w:val="24"/>
        </w:rPr>
      </w:pPr>
      <w:r>
        <w:rPr>
          <w:sz w:val="24"/>
          <w:szCs w:val="24"/>
        </w:rPr>
        <w:t xml:space="preserve">Z důvodů nemožnosti snížit škody působené zvěří technicky přiměřenými a ekonomicky únosnými způsoby a vzhledem k tomu, že snížení stavů zvěře zde zcela jasně vyžaduje zájem vlastníka honebního pozemku, </w:t>
      </w:r>
      <w:r>
        <w:rPr>
          <w:b/>
          <w:sz w:val="24"/>
          <w:szCs w:val="24"/>
        </w:rPr>
        <w:t>žádám o provedení výkonu dozoru v myslivosti</w:t>
      </w:r>
      <w:r>
        <w:rPr>
          <w:sz w:val="24"/>
          <w:szCs w:val="24"/>
        </w:rPr>
        <w:t xml:space="preserve"> ve smyslu § 61 odst. 2) zákona č. 449/2001 Sb., o myslivosti, ve znění pozdějších předpisů (zákon o myslivosti) a </w:t>
      </w:r>
      <w:r>
        <w:rPr>
          <w:b/>
          <w:sz w:val="24"/>
          <w:szCs w:val="24"/>
        </w:rPr>
        <w:t>současně o zahájení řízení o uložení úpravy stavů zvěře ve smyslu § 39</w:t>
      </w:r>
      <w:r>
        <w:rPr>
          <w:sz w:val="24"/>
          <w:szCs w:val="24"/>
        </w:rPr>
        <w:t xml:space="preserve"> zákona o myslivosti, a to nejen v příslušné honitbě, kde se nacházejí mé lesní pozemky, ale i v honitbách sousedních.</w:t>
      </w:r>
    </w:p>
    <w:p>
      <w:pPr>
        <w:pStyle w:val="Normal"/>
        <w:bidi w:val="0"/>
        <w:ind w:firstLine="708"/>
        <w:jc w:val="both"/>
        <w:rPr>
          <w:b/>
          <w:b/>
          <w:sz w:val="24"/>
          <w:szCs w:val="24"/>
        </w:rPr>
      </w:pPr>
      <w:r>
        <w:rPr/>
        <w:t xml:space="preserve"> </w:t>
      </w:r>
      <w:r>
        <w:rPr>
          <w:sz w:val="24"/>
          <w:szCs w:val="24"/>
        </w:rPr>
        <w:t xml:space="preserve">Důvodem požadavku na zahájení řízení i ve všech sousedních honitbách je jednak migrace zvěře na území větším, než jsou jednotlivé honitby, ale i skutečnost, že k nadměrnému poškozování lesů dochází i v širokém okolí a značná část škod je působená i nenormovanou zvěří. </w:t>
      </w:r>
      <w:r>
        <w:rPr>
          <w:b/>
          <w:sz w:val="24"/>
          <w:szCs w:val="24"/>
        </w:rPr>
        <w:t>Z tohoto důvodu se můj požadavek týká všech druhů spárkaté zvěře vyskytujících se v daných honitbách, a to bez ohledu na to, zda mají tyto druhy v honitbách stanoveny normované stavy.</w:t>
      </w:r>
    </w:p>
    <w:p>
      <w:pPr>
        <w:pStyle w:val="Normal"/>
        <w:bidi w:val="0"/>
        <w:ind w:firstLine="708"/>
        <w:jc w:val="both"/>
        <w:rPr>
          <w:sz w:val="24"/>
          <w:szCs w:val="24"/>
        </w:rPr>
      </w:pPr>
      <w:r>
        <w:rPr>
          <w:sz w:val="24"/>
          <w:szCs w:val="24"/>
        </w:rPr>
      </w:r>
    </w:p>
    <w:p>
      <w:pPr>
        <w:pStyle w:val="Normal"/>
        <w:bidi w:val="0"/>
        <w:ind w:firstLine="708"/>
        <w:jc w:val="both"/>
        <w:rPr>
          <w:b/>
          <w:b/>
          <w:sz w:val="24"/>
          <w:szCs w:val="24"/>
        </w:rPr>
      </w:pPr>
      <w:r>
        <w:rPr>
          <w:b/>
          <w:sz w:val="24"/>
          <w:szCs w:val="24"/>
        </w:rPr>
        <w:t>Dále požaduji, aby:</w:t>
      </w:r>
    </w:p>
    <w:p>
      <w:pPr>
        <w:pStyle w:val="ListParagraph"/>
        <w:numPr>
          <w:ilvl w:val="0"/>
          <w:numId w:val="2"/>
        </w:numPr>
        <w:bidi w:val="0"/>
        <w:jc w:val="both"/>
        <w:textAlignment w:val="baseline"/>
        <w:rPr>
          <w:sz w:val="24"/>
          <w:szCs w:val="24"/>
        </w:rPr>
      </w:pPr>
      <w:r>
        <w:rPr>
          <w:sz w:val="24"/>
          <w:szCs w:val="24"/>
        </w:rPr>
        <w:t>OSSM využil všech možností uvedených v platných metodických pokynech MZe ke snížení početních stavů spárkaté zvěře (č.j. 48699/2019-MZE-16233, č.j. 40386/2018-MZE-16233).</w:t>
      </w:r>
    </w:p>
    <w:p>
      <w:pPr>
        <w:pStyle w:val="ListParagraph"/>
        <w:numPr>
          <w:ilvl w:val="0"/>
          <w:numId w:val="5"/>
        </w:numPr>
        <w:bidi w:val="0"/>
        <w:jc w:val="both"/>
        <w:rPr>
          <w:sz w:val="24"/>
          <w:szCs w:val="24"/>
        </w:rPr>
      </w:pPr>
      <w:r>
        <w:rPr>
          <w:sz w:val="24"/>
          <w:szCs w:val="24"/>
        </w:rPr>
        <w:t xml:space="preserve">OSSM přihlédl i k výsledkům Národní inventarizace lesů a Inventarizace škod zvěří, prokazujících regionálně neúnosný rozsah škod. </w:t>
      </w:r>
      <w:r>
        <w:rPr>
          <w:color w:val="FF0000"/>
          <w:sz w:val="24"/>
          <w:szCs w:val="24"/>
        </w:rPr>
        <w:t>(Toto uvést pouze v případě, že to inventarizace opravdu prokazují. Jsou výjimečné kraje, kde je tento argument slabý)</w:t>
      </w:r>
    </w:p>
    <w:p>
      <w:pPr>
        <w:pStyle w:val="ListParagraph"/>
        <w:numPr>
          <w:ilvl w:val="0"/>
          <w:numId w:val="5"/>
        </w:numPr>
        <w:bidi w:val="0"/>
        <w:jc w:val="both"/>
        <w:rPr>
          <w:sz w:val="24"/>
          <w:szCs w:val="24"/>
        </w:rPr>
      </w:pPr>
      <w:r>
        <w:rPr>
          <w:sz w:val="24"/>
          <w:szCs w:val="24"/>
        </w:rPr>
        <w:t xml:space="preserve">OSSM při zjišťování stavů spárkaté zvěře bezpodmínečně vycházel nejen z údajů sčítání zvěře a zpětných propočtů, ale též z místních šetření a zjišťování škod a pobytových znaků zvěře v konkrétních, i sousedních honitbách. </w:t>
      </w:r>
    </w:p>
    <w:p>
      <w:pPr>
        <w:pStyle w:val="ListParagraph"/>
        <w:numPr>
          <w:ilvl w:val="0"/>
          <w:numId w:val="5"/>
        </w:numPr>
        <w:bidi w:val="0"/>
        <w:jc w:val="both"/>
        <w:rPr>
          <w:sz w:val="24"/>
          <w:szCs w:val="24"/>
        </w:rPr>
      </w:pPr>
      <w:r>
        <w:rPr>
          <w:sz w:val="24"/>
          <w:szCs w:val="24"/>
        </w:rPr>
        <w:t>OSSM ve výrokové části rozhodnutí upřednostnil odlov zvěře samičí a samčí zvěře ve věku do dvou let, což teprve povede k žádoucímu efektivnímu snížení početních stavů zvěře v honitbách.</w:t>
      </w:r>
    </w:p>
    <w:p>
      <w:pPr>
        <w:pStyle w:val="ListParagraph"/>
        <w:numPr>
          <w:ilvl w:val="0"/>
          <w:numId w:val="5"/>
        </w:numPr>
        <w:bidi w:val="0"/>
        <w:jc w:val="both"/>
        <w:rPr>
          <w:sz w:val="24"/>
          <w:szCs w:val="24"/>
        </w:rPr>
      </w:pPr>
      <w:r>
        <w:rPr>
          <w:sz w:val="24"/>
          <w:szCs w:val="24"/>
        </w:rPr>
        <w:t xml:space="preserve">OSSM současně povolil výjimky ze zakázaných způsobů lovu dle příslušných ustanovení § 45, neboť je nepochybné, že s ohledem na podmínky v honitbách je to účelné (celková skutečná početnost zvěře, výskyt nenormovaných druhů zvěře, rozsah škod, rozsah ochrany proti škodám, narůstající rozsah nutné obnovy, nezbytnost přestavby lesa, apod.). </w:t>
      </w:r>
    </w:p>
    <w:p>
      <w:pPr>
        <w:pStyle w:val="ListParagraph"/>
        <w:numPr>
          <w:ilvl w:val="0"/>
          <w:numId w:val="5"/>
        </w:numPr>
        <w:bidi w:val="0"/>
        <w:jc w:val="both"/>
        <w:rPr>
          <w:sz w:val="24"/>
          <w:szCs w:val="24"/>
        </w:rPr>
      </w:pPr>
      <w:r>
        <w:rPr>
          <w:sz w:val="24"/>
          <w:szCs w:val="24"/>
        </w:rPr>
        <w:t xml:space="preserve">OSSM stanovil platnost rozhodnutí na víceleté období. Vzhledem ke konkrétním podmínkám v honitbách (celková početnost zvěře, výskyt nenormovaných druhů zvěře, rozsah škod, rozsah ochrany proti škodám, narůstající rozsah nutné obnovy, nezbytnost přestavby lesa, apod.) je nanejvýš žádoucí, aby byla stanovena platnost rozhodnutí nejméně na 5 let. </w:t>
      </w:r>
    </w:p>
    <w:p>
      <w:pPr>
        <w:pStyle w:val="ListParagraph"/>
        <w:numPr>
          <w:ilvl w:val="0"/>
          <w:numId w:val="5"/>
        </w:numPr>
        <w:bidi w:val="0"/>
        <w:jc w:val="both"/>
        <w:rPr>
          <w:sz w:val="24"/>
          <w:szCs w:val="24"/>
        </w:rPr>
      </w:pPr>
      <w:r>
        <w:rPr>
          <w:sz w:val="24"/>
          <w:szCs w:val="24"/>
        </w:rPr>
        <w:t>OSSM uložil opatřením (dle § 61, odst. 3 zákona o myslivosti) uživatelům zákaz přikrmování mimo dobu nouze, protože je to s ohledem na podmínky v honitbě účelné a nanejvýš žádoucí. Požaduji proto, aby zákaz přikrmování byl uložen a aby byly opatřením taxativně stanoveny podmínky, které dobu nouze definují, a aby v případě, že je v honitbách normovaná jen srnčí zvěř byla uložena povinnost zařízení k přikrmování zvěře vybavit tak, aby byla přístupná jen pro normovanou zvěř, tedy aby zbylo zamezeno přístupu nenormovaných druhů zvěře. V opačném případě budou přetrvávat v honitbě podmínky, které jsou v rozporu s cílem snížit stavy zvěře a působené škody. Přikrmování mimo dobu nouze a přístup nenormované zvěře ke krmným zařízením je v rozporu se zájmy chráněnými zákonem.</w:t>
      </w:r>
    </w:p>
    <w:p>
      <w:pPr>
        <w:pStyle w:val="ListParagraph"/>
        <w:bidi w:val="0"/>
        <w:ind w:left="1353" w:hanging="0"/>
        <w:jc w:val="both"/>
        <w:rPr>
          <w:sz w:val="24"/>
          <w:szCs w:val="24"/>
        </w:rPr>
      </w:pPr>
      <w:r>
        <w:rPr>
          <w:sz w:val="24"/>
          <w:szCs w:val="24"/>
        </w:rPr>
      </w:r>
    </w:p>
    <w:p>
      <w:pPr>
        <w:pStyle w:val="Normal"/>
        <w:bidi w:val="0"/>
        <w:ind w:firstLine="708"/>
        <w:jc w:val="both"/>
        <w:rPr>
          <w:sz w:val="24"/>
          <w:szCs w:val="24"/>
        </w:rPr>
      </w:pPr>
      <w:r>
        <w:rPr>
          <w:sz w:val="24"/>
          <w:szCs w:val="24"/>
        </w:rPr>
        <w:t xml:space="preserve">V souladu s § 42 správního řádu rovněž </w:t>
      </w:r>
      <w:r>
        <w:rPr>
          <w:b/>
          <w:sz w:val="24"/>
          <w:szCs w:val="24"/>
        </w:rPr>
        <w:t xml:space="preserve">požaduji, aby mi OSSM ve lhůtě 30 dnů ode dne obdržení podnětu sdělil, že řízení zahájil, nebo že neshledal důvody k zahájení řízení z moci úřední, </w:t>
      </w:r>
      <w:r>
        <w:rPr>
          <w:sz w:val="24"/>
          <w:szCs w:val="24"/>
        </w:rPr>
        <w:t xml:space="preserve">popřípadě že podnět postoupil příslušnému správnímu orgánu. </w:t>
      </w:r>
    </w:p>
    <w:p>
      <w:pPr>
        <w:pStyle w:val="Normal"/>
        <w:bidi w:val="0"/>
        <w:jc w:val="both"/>
        <w:rPr>
          <w:sz w:val="24"/>
          <w:szCs w:val="24"/>
        </w:rPr>
      </w:pPr>
      <w:r>
        <w:rPr>
          <w:sz w:val="24"/>
          <w:szCs w:val="24"/>
        </w:rPr>
      </w:r>
    </w:p>
    <w:p>
      <w:pPr>
        <w:pStyle w:val="Normal"/>
        <w:bidi w:val="0"/>
        <w:ind w:firstLine="708"/>
        <w:jc w:val="both"/>
        <w:rPr>
          <w:sz w:val="24"/>
          <w:szCs w:val="24"/>
        </w:rPr>
      </w:pPr>
      <w:r>
        <w:rPr>
          <w:sz w:val="24"/>
          <w:szCs w:val="24"/>
        </w:rPr>
        <w:t xml:space="preserve">Dále </w:t>
      </w:r>
      <w:r>
        <w:rPr>
          <w:b/>
          <w:sz w:val="24"/>
          <w:szCs w:val="24"/>
        </w:rPr>
        <w:t>požaduji, aby mne OSSM v případě zahájení řízení o uložení snížení stavu zvěře považoval za účastníka řízení</w:t>
      </w:r>
      <w:r>
        <w:rPr>
          <w:sz w:val="24"/>
          <w:szCs w:val="24"/>
        </w:rPr>
        <w:t xml:space="preserve"> podle § 27 odst. 2 správního řádu, jelikož předmět řízení se bude zcela jasně týkat mých práv plynoucích z vlastnictví výše uvedených pozemků.</w:t>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tab/>
        <w:tab/>
        <w:tab/>
        <w:tab/>
        <w:tab/>
        <w:tab/>
        <w:tab/>
        <w:tab/>
        <w:tab/>
        <w:tab/>
      </w:r>
      <w:r>
        <w:rPr>
          <w:color w:val="FF0000"/>
          <w:sz w:val="24"/>
          <w:szCs w:val="24"/>
        </w:rPr>
        <w:t>podpis</w:t>
      </w:r>
    </w:p>
    <w:p>
      <w:pPr>
        <w:pStyle w:val="Normal"/>
        <w:bidi w:val="0"/>
        <w:jc w:val="both"/>
        <w:rPr>
          <w:sz w:val="24"/>
          <w:szCs w:val="24"/>
        </w:rPr>
      </w:pPr>
      <w:r>
        <w:rPr>
          <w:sz w:val="24"/>
          <w:szCs w:val="24"/>
        </w:rPr>
        <w:tab/>
        <w:tab/>
        <w:tab/>
        <w:tab/>
        <w:tab/>
        <w:tab/>
        <w:tab/>
        <w:tab/>
        <w:t>……………………………………</w:t>
      </w:r>
    </w:p>
    <w:p>
      <w:pPr>
        <w:pStyle w:val="Normal"/>
        <w:bidi w:val="0"/>
        <w:jc w:val="both"/>
        <w:rPr>
          <w:color w:val="FF0000"/>
          <w:sz w:val="24"/>
          <w:szCs w:val="24"/>
        </w:rPr>
      </w:pPr>
      <w:r>
        <w:rPr>
          <w:sz w:val="24"/>
          <w:szCs w:val="24"/>
        </w:rPr>
        <w:tab/>
        <w:tab/>
        <w:tab/>
        <w:tab/>
        <w:tab/>
        <w:tab/>
        <w:tab/>
        <w:tab/>
        <w:tab/>
        <w:t xml:space="preserve">    </w:t>
      </w:r>
      <w:r>
        <w:rPr>
          <w:color w:val="FF0000"/>
          <w:sz w:val="24"/>
          <w:szCs w:val="24"/>
        </w:rPr>
        <w:t>Jméno a příjmení</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2"/>
  </w:num>
</w:numbering>
</file>

<file path=word/settings.xml><?xml version="1.0" encoding="utf-8"?>
<w:settings xmlns:w="http://schemas.openxmlformats.org/wordprocessingml/2006/main">
  <w:zoom w:percent="11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s-CZ" w:eastAsia="zh-CN" w:bidi="hi-IN"/>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qFormat/>
    <w:pPr>
      <w:spacing w:before="0" w:after="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LibreOffice/6.4.4.2$Windows_X86_64 LibreOffice_project/3d775be2011f3886db32dfd395a6a6d1ca2630ff</Application>
  <Pages>3</Pages>
  <Words>891</Words>
  <Characters>4956</Characters>
  <CharactersWithSpaces>5855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2020-12-18T21:31:43Z</dcterms:created>
  <dc:creator>Milan Košulič</dc:creator>
  <dc:description/>
  <dc:language>cs-CZ</dc:language>
  <cp:lastModifiedBy>Milan Košulič</cp:lastModifiedBy>
  <dcterms:modified xsi:type="dcterms:W3CDTF">2020-12-18T21:33:36Z</dcterms:modified>
  <cp:revision>1</cp:revision>
  <dc:subject/>
  <dc:title/>
</cp:coreProperties>
</file>